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Torsås kommunfullmäktige</w:t>
      </w:r>
    </w:p>
    <w:p>
      <w:pPr>
        <w:pStyle w:val="Heading1"/>
      </w:pPr>
      <w:r>
        <w:t xml:space="preserve">Bättre ordning och kunskap i Torsås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Torsås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Torsås skolors meritvärde årskurs 9 ligger på 215 poäng enligt Kolada 2024, under rikssnittet. Bristande ordning och tidiga insatser försvårar kunskapsutveckling. Källa: Skolverket och kommunens kvalitetsrapport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Torsås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kommunal ordningsplan med tydliga konsekvenser för störande beteende i Torsås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antalet speciallärare med minst två tjänster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obligatorisk lästräning 30 minuter dagligen i årskurs 1–3.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500 000 kr årligen för tidiga insatser mot läs- och skrivsvårigheter.</w:t>
      </w:r>
    </w:p>
    <w:p>
      <w:pPr>
        <w:spacing w:before="360"/>
      </w:pPr>
    </w:p>
    <w:p>
      <w:r>
        <w:t xml:space="preserve">Torsås,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Torsås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2026-07-14T05:23:21.397Z</dcterms:created>
  <dcterms:modified xsi:type="dcterms:W3CDTF">2026-07-14T05:23:21.397Z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